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spacing w:beforeAutospacing="0" w:before="0" w:afterAutospacing="0" w:after="0"/>
        <w:ind w:left="-150"/>
        <w:textAlignment w:val="baseline"/>
        <w:rPr>
          <w:b/>
          <w:bCs/>
          <w:color w:themeColor="accent1" w:val="5B9BD5"/>
          <w:sz w:val="28"/>
          <w:szCs w:val="28"/>
        </w:rPr>
      </w:pPr>
      <w:r>
        <w:rPr/>
      </w:r>
    </w:p>
    <w:p>
      <w:pPr>
        <w:pStyle w:val="Heading1"/>
        <w:rPr/>
      </w:pPr>
      <w:bookmarkStart w:id="0" w:name="_ZPĚTNÝ_ODBĚR_VYSLOUŽILÝCH"/>
      <w:bookmarkEnd w:id="0"/>
      <w:r>
        <w:rPr/>
        <w:t>ZPĚTNÝ ODBĚR VYSLOUŽILÝCH ELEKTROZAŘÍZENÍ / BATERIÍ</w:t>
      </w:r>
    </w:p>
    <w:p>
      <w:pPr>
        <w:pStyle w:val="Normal"/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>
      <w:pPr>
        <w:pStyle w:val="Normal"/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Spotřebitel má v systému nakládání s elektrospotřebiči a přenosnými bateriemi zcela zásadní roli. On je tím, kdo se rozhoduje, co udělá se starým spotřebičem/baterií. Stará a nepotřebná elektrozařízení a baterie nepatří do netříděného komunálního odpadu, naopak mají být předány prostřednictvím sběrných míst, tzv. míst zpětného odběru, ze kterých putují k opětovnému použití nebo k samotné recyklaci.</w:t>
      </w:r>
    </w:p>
    <w:p>
      <w:pPr>
        <w:pStyle w:val="Normal"/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Spotřebitel musí být informován symboly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60"/>
        <w:gridCol w:w="1099"/>
      </w:tblGrid>
      <w:tr>
        <w:trPr>
          <w:trHeight w:val="1320" w:hRule="atLeast"/>
        </w:trPr>
        <w:tc>
          <w:tcPr>
            <w:tcW w:w="1260" w:type="dxa"/>
            <w:tcBorders/>
            <w:vAlign w:val="bottom"/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571500" cy="769620"/>
                  <wp:effectExtent l="0" t="0" r="0" b="0"/>
                  <wp:wrapNone/>
                  <wp:docPr id="1" name="Obrázek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12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120"/>
            </w:tblGrid>
            <w:tr>
              <w:trPr>
                <w:trHeight w:val="1320" w:hRule="exact"/>
              </w:trPr>
              <w:tc>
                <w:tcPr>
                  <w:tcW w:w="1120" w:type="dxa"/>
                  <w:tcBorders/>
                  <w:vAlign w:val="bottom"/>
                </w:tcPr>
                <w:p>
                  <w:pPr>
                    <w:pStyle w:val="Normal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099" w:type="dxa"/>
            <w:tcBorders/>
            <w:vAlign w:val="bottom"/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594360" cy="777240"/>
                  <wp:effectExtent l="0" t="0" r="0" b="0"/>
                  <wp:wrapNone/>
                  <wp:docPr id="2" name="Obrázek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0"/>
            </w:tblGrid>
            <w:tr>
              <w:trPr>
                <w:trHeight w:val="1320" w:hRule="exact"/>
              </w:trPr>
              <w:tc>
                <w:tcPr>
                  <w:tcW w:w="960" w:type="dxa"/>
                  <w:tcBorders/>
                  <w:vAlign w:val="bottom"/>
                </w:tcPr>
                <w:p>
                  <w:pPr>
                    <w:pStyle w:val="Normal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1260" w:type="dxa"/>
            <w:tcBorders/>
            <w:vAlign w:val="center"/>
          </w:tcPr>
          <w:p>
            <w:pPr>
              <w:pStyle w:val="Normal"/>
              <w:jc w:val="both"/>
              <w:rPr>
                <w:i/>
                <w:i/>
                <w:iCs/>
                <w:color w:val="44546A"/>
                <w:sz w:val="22"/>
                <w:szCs w:val="22"/>
              </w:rPr>
            </w:pPr>
            <w:r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099" w:type="dxa"/>
            <w:tcBorders/>
            <w:vAlign w:val="center"/>
          </w:tcPr>
          <w:p>
            <w:pPr>
              <w:pStyle w:val="Normal"/>
              <w:jc w:val="both"/>
              <w:rPr>
                <w:i/>
                <w:i/>
                <w:iCs/>
                <w:color w:val="44546A"/>
                <w:sz w:val="22"/>
                <w:szCs w:val="22"/>
              </w:rPr>
            </w:pPr>
            <w:r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Jak se zbavit starého spotřebiče/baterií? </w:t>
      </w:r>
    </w:p>
    <w:p>
      <w:pPr>
        <w:pStyle w:val="Normal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fyzické osoby mohou využít službu: </w:t>
      </w:r>
      <w:hyperlink r:id="rId4">
        <w:r>
          <w:rPr>
            <w:rStyle w:val="Hyperlink"/>
            <w:rFonts w:eastAsia="Tahoma"/>
            <w:sz w:val="22"/>
            <w:szCs w:val="22"/>
          </w:rPr>
          <w:t>BUĎ LÍNÝ</w:t>
        </w:r>
      </w:hyperlink>
      <w:r>
        <w:rPr>
          <w:sz w:val="22"/>
          <w:szCs w:val="22"/>
        </w:rPr>
        <w:t xml:space="preserve"> nebo</w:t>
      </w:r>
      <w:r>
        <w:rPr>
          <w:sz w:val="22"/>
          <w:szCs w:val="22"/>
          <w:u w:val="single"/>
        </w:rPr>
        <w:t xml:space="preserve"> </w:t>
      </w:r>
      <w:hyperlink r:id="rId5">
        <w:r>
          <w:rPr>
            <w:rStyle w:val="Hyperlink"/>
            <w:sz w:val="22"/>
            <w:szCs w:val="22"/>
          </w:rPr>
          <w:t>Rebalík</w:t>
        </w:r>
      </w:hyperlink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142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právnické osoby mohou využít: </w:t>
      </w:r>
      <w:hyperlink r:id="rId6">
        <w:r>
          <w:rPr>
            <w:rStyle w:val="Hyperlink"/>
            <w:rFonts w:eastAsia="Tahoma"/>
            <w:sz w:val="22"/>
            <w:szCs w:val="22"/>
          </w:rPr>
          <w:t>Svoz pro registrované partnery</w:t>
        </w:r>
      </w:hyperlink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místě prodeje na adrese kamenné prodejny: </w:t>
      </w:r>
      <w:r>
        <w:rPr>
          <w:color w:val="auto"/>
          <w:sz w:val="22"/>
          <w:szCs w:val="22"/>
        </w:rPr>
        <w:t>H</w:t>
      </w:r>
      <w:r>
        <w:rPr>
          <w:color w:val="auto"/>
          <w:sz w:val="22"/>
          <w:szCs w:val="22"/>
        </w:rPr>
        <w:t>avlíčkova 100, 27305 Smečno</w:t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0" w:left="-142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prostřednictvím veřejně dostupné sběrné sítě REMA Systém, a.s., která je určena pro </w:t>
      </w:r>
      <w:r>
        <w:fldChar w:fldCharType="begin"/>
      </w:r>
      <w:r>
        <w:rPr>
          <w:rStyle w:val="Hyperlink"/>
          <w:sz w:val="22"/>
          <w:szCs w:val="22"/>
        </w:rPr>
        <w:instrText xml:space="preserve"> HYPERLINK "https://www.rema.cloud/o-nas" \l "sberna-mista"</w:instrText>
      </w:r>
      <w:r>
        <w:rPr>
          <w:rStyle w:val="Hyperlink"/>
          <w:sz w:val="22"/>
          <w:szCs w:val="22"/>
        </w:rPr>
        <w:fldChar w:fldCharType="separate"/>
      </w:r>
      <w:r>
        <w:rPr>
          <w:rStyle w:val="Hyperlink"/>
          <w:sz w:val="22"/>
          <w:szCs w:val="22"/>
        </w:rPr>
        <w:t>zpětný odběr elektrozařízení</w:t>
      </w:r>
      <w:r>
        <w:rPr>
          <w:rStyle w:val="Hyperlink"/>
          <w:sz w:val="22"/>
          <w:szCs w:val="22"/>
        </w:rPr>
        <w:fldChar w:fldCharType="end"/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</w:p>
    <w:p>
      <w:pPr>
        <w:pStyle w:val="Normal"/>
        <w:numPr>
          <w:ilvl w:val="0"/>
          <w:numId w:val="1"/>
        </w:numPr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0" w:left="-142"/>
        <w:rPr>
          <w:rStyle w:val="Hyperlink"/>
        </w:rPr>
      </w:pPr>
      <w:r>
        <w:rPr>
          <w:sz w:val="22"/>
          <w:szCs w:val="22"/>
        </w:rPr>
        <w:t xml:space="preserve">prostřednictvím veřejně dostupné sběrné sítě REMA Battery, s.r.o., která je určena pro </w:t>
      </w:r>
      <w:hyperlink r:id="rId7">
        <w:r>
          <w:rPr>
            <w:rStyle w:val="Hyperlink"/>
          </w:rPr>
          <w:t>zpětný odběr baterií</w:t>
        </w:r>
      </w:hyperlink>
    </w:p>
    <w:p>
      <w:pPr>
        <w:pStyle w:val="Normal"/>
        <w:ind w:left="-142"/>
        <w:rPr>
          <w:rStyle w:val="Hyperlink"/>
        </w:rPr>
      </w:pPr>
      <w:r>
        <w:rPr/>
      </w:r>
    </w:p>
    <w:p>
      <w:pPr>
        <w:pStyle w:val="Normal"/>
        <w:numPr>
          <w:ilvl w:val="0"/>
          <w:numId w:val="1"/>
        </w:numPr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8">
        <w:r>
          <w:rPr>
            <w:rStyle w:val="Hyperlink"/>
            <w:sz w:val="22"/>
            <w:szCs w:val="22"/>
          </w:rPr>
          <w:t>Ministerstva životního prostředí (ISOH 2)</w:t>
        </w:r>
      </w:hyperlink>
      <w:r>
        <w:rPr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hanging="0"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potřeby je možnost se poradit na bezplatné lince </w:t>
      </w:r>
      <w:hyperlink r:id="rId9">
        <w:r>
          <w:rPr>
            <w:rStyle w:val="Hyperlink"/>
            <w:sz w:val="22"/>
            <w:szCs w:val="22"/>
          </w:rPr>
          <w:t>Chytré recyklace</w:t>
        </w:r>
      </w:hyperlink>
      <w:r>
        <w:rPr>
          <w:sz w:val="22"/>
          <w:szCs w:val="22"/>
        </w:rPr>
        <w:t xml:space="preserve"> (800 976 679)</w:t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Proč recyklovat?</w:t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Nejen elektrozařízení, ale i baterie obsahují mnoho recyklovatelných kovů jako je například zinek, železo, mangan, nikl, kadmium nebo olovo. Některé z těchto látek jsou zároveň velmi nebezpečné pro životní prostředí a zdraví člověka, a to zejména rtuť, olovo a kadmium. Vybrané baterie jsou často označeny symbolem chemického prvku, který obsahují (Pb, Cd, Hg).</w:t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 před případným neodborným nakládáním.</w:t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Nepoužívané baterie, které nejsou předány k recyklaci prostřednictvím míst zpětného odběru, ale jsou skladovány například v kancelářských šuplících, či kdekoliv jinde v domácnostech či firmách mohou následně způsobit i požár. Tuto vlastnost mají zejména baterie s obsahem lithia. S ohledem na bezpečnost je tedy velmi důležité předávat použité baterie co nejdříve k recyklaci.</w:t>
      </w:r>
    </w:p>
    <w:p>
      <w:pPr>
        <w:pStyle w:val="Normal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Nejběžnější typy baterií, jejich označení a užití:</w:t>
      </w:r>
    </w:p>
    <w:p>
      <w:pPr>
        <w:pStyle w:val="Normal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72" w:type="dxa"/>
        <w:jc w:val="left"/>
        <w:tblInd w:w="-15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127"/>
        <w:gridCol w:w="2550"/>
        <w:gridCol w:w="1135"/>
        <w:gridCol w:w="3959"/>
      </w:tblGrid>
      <w:tr>
        <w:trPr>
          <w:trHeight w:val="300" w:hRule="exact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>
        <w:trPr>
          <w:trHeight w:val="360" w:hRule="exact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0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Alkalické, Alkaline,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>
        <w:trPr>
          <w:trHeight w:val="360" w:hRule="atLeast"/>
        </w:trPr>
        <w:tc>
          <w:tcPr>
            <w:tcW w:w="21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AlMn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>
        <w:trPr>
          <w:trHeight w:val="300" w:hRule="atLeast"/>
        </w:trPr>
        <w:tc>
          <w:tcPr>
            <w:tcW w:w="21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9V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288" w:hRule="exact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0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>
        <w:trPr>
          <w:trHeight w:val="288" w:hRule="atLeast"/>
        </w:trPr>
        <w:tc>
          <w:tcPr>
            <w:tcW w:w="21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>
        <w:trPr>
          <w:trHeight w:val="300" w:hRule="atLeast"/>
        </w:trPr>
        <w:tc>
          <w:tcPr>
            <w:tcW w:w="21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zinkovzduchové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60" w:hRule="exact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Zinkouhlíkové</w:t>
            </w:r>
          </w:p>
        </w:tc>
        <w:tc>
          <w:tcPr>
            <w:tcW w:w="2550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Classic, Heavy Duty,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>
        <w:trPr>
          <w:trHeight w:val="360" w:hRule="atLeast"/>
        </w:trPr>
        <w:tc>
          <w:tcPr>
            <w:tcW w:w="21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Power Cell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>
        <w:trPr>
          <w:trHeight w:val="300" w:hRule="atLeast"/>
        </w:trPr>
        <w:tc>
          <w:tcPr>
            <w:tcW w:w="21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9V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>
        <w:trPr>
          <w:trHeight w:val="360" w:hRule="exact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>
        <w:trPr>
          <w:trHeight w:val="496" w:hRule="atLeast"/>
        </w:trPr>
        <w:tc>
          <w:tcPr>
            <w:tcW w:w="21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Li-Ion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>
        <w:trPr>
          <w:trHeight w:val="288" w:hRule="exac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>
        <w:trPr>
          <w:trHeight w:val="300" w:hRule="atLeas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>
        <w:trPr>
          <w:trHeight w:val="288" w:hRule="exact"/>
        </w:trPr>
        <w:tc>
          <w:tcPr>
            <w:tcW w:w="212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Nikl-metalhydridové</w:t>
            </w:r>
          </w:p>
        </w:tc>
        <w:tc>
          <w:tcPr>
            <w:tcW w:w="25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NiMH, Ni-Hydride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>
        <w:trPr>
          <w:trHeight w:val="300" w:hRule="atLeas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>
        <w:trPr>
          <w:trHeight w:val="360" w:hRule="exac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2V, 6V,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>
        <w:trPr>
          <w:trHeight w:val="423" w:hRule="atLeas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12V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vodní skútry</w:t>
            </w:r>
          </w:p>
        </w:tc>
      </w:tr>
      <w:tr>
        <w:trPr>
          <w:trHeight w:val="288" w:hRule="exac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Rtuťové, Hg, HgO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>
        <w:trPr>
          <w:trHeight w:val="300" w:hRule="atLeas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>
        <w:trPr>
          <w:trHeight w:val="288" w:hRule="exac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Stříbrné, AgO</w:t>
            </w:r>
          </w:p>
        </w:tc>
        <w:tc>
          <w:tcPr>
            <w:tcW w:w="1135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59" w:type="dxa"/>
            <w:tcBorders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>
        <w:trPr>
          <w:trHeight w:val="300" w:hRule="atLeast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>
      <w:pPr>
        <w:pStyle w:val="Normal"/>
        <w:ind w:lef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type w:val="nextPage"/>
      <w:pgSz w:w="11906" w:h="16838"/>
      <w:pgMar w:left="1417" w:right="849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7c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Heading1">
    <w:name w:val="Heading 1"/>
    <w:basedOn w:val="Normal"/>
    <w:next w:val="Normal"/>
    <w:qFormat/>
    <w:rsid w:val="00fa7880"/>
    <w:pPr>
      <w:keepNext w:val="true"/>
      <w:spacing w:before="240" w:after="60"/>
      <w:outlineLvl w:val="0"/>
    </w:pPr>
    <w:rPr>
      <w:rFonts w:ascii="Tahoma" w:hAnsi="Tahoma"/>
      <w:b/>
      <w:bCs/>
      <w:kern w:val="2"/>
      <w:sz w:val="20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1" w:customStyle="1">
    <w:name w:val="Balloon Text Char1"/>
    <w:basedOn w:val="DefaultParagraphFont"/>
    <w:uiPriority w:val="99"/>
    <w:semiHidden/>
    <w:qFormat/>
    <w:rsid w:val="001e7686"/>
    <w:rPr>
      <w:rFonts w:ascii="Segoe UI" w:hAnsi="Segoe UI" w:eastAsia="Times New Roman" w:cs="Segoe UI"/>
      <w:sz w:val="18"/>
      <w:szCs w:val="18"/>
      <w:lang w:eastAsia="cs-CZ"/>
    </w:rPr>
  </w:style>
  <w:style w:type="character" w:styleId="Hyperlink">
    <w:name w:val="Hyperlink"/>
    <w:uiPriority w:val="99"/>
    <w:unhideWhenUsed/>
    <w:rsid w:val="00fa78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e50"/>
    <w:rPr>
      <w:color w:themeColor="followedHyperlink" w:val="954F72"/>
      <w:u w:val="single"/>
    </w:rPr>
  </w:style>
  <w:style w:type="character" w:styleId="Zkladntext" w:customStyle="1">
    <w:name w:val="Základní text_"/>
    <w:basedOn w:val="DefaultParagraphFont"/>
    <w:link w:val="Zkladntext2"/>
    <w:qFormat/>
    <w:rsid w:val="001f2c70"/>
    <w:rPr>
      <w:rFonts w:ascii="Tahoma" w:hAnsi="Tahoma" w:eastAsia="Tahoma" w:cs="Tahoma"/>
      <w:spacing w:val="2"/>
      <w:sz w:val="16"/>
      <w:szCs w:val="16"/>
    </w:rPr>
  </w:style>
  <w:style w:type="character" w:styleId="Zkladntext7ptTundkovn0pt" w:customStyle="1">
    <w:name w:val="Základní text + 7 pt;Tučné;Řádkování 0 pt"/>
    <w:basedOn w:val="Zkladntext"/>
    <w:qFormat/>
    <w:rsid w:val="001f2c70"/>
    <w:rPr>
      <w:rFonts w:ascii="Tahoma" w:hAnsi="Tahoma" w:eastAsia="Tahoma" w:cs="Tahoma"/>
      <w:b/>
      <w:bCs/>
      <w:color w:val="000000"/>
      <w:spacing w:val="1"/>
      <w:w w:val="100"/>
      <w:sz w:val="14"/>
      <w:szCs w:val="14"/>
      <w:lang w:val="cs-CZ" w:eastAsia="cs-CZ" w:bidi="cs-CZ"/>
    </w:rPr>
  </w:style>
  <w:style w:type="character" w:styleId="Zkladntext7pt" w:customStyle="1">
    <w:name w:val="Základní text + 7 pt"/>
    <w:basedOn w:val="Zkladntext"/>
    <w:qFormat/>
    <w:rsid w:val="001f2c70"/>
    <w:rPr>
      <w:rFonts w:ascii="Tahoma" w:hAnsi="Tahoma" w:eastAsia="Tahoma" w:cs="Tahoma"/>
      <w:color w:val="000000"/>
      <w:spacing w:val="2"/>
      <w:w w:val="100"/>
      <w:sz w:val="14"/>
      <w:szCs w:val="14"/>
      <w:lang w:val="cs-CZ" w:eastAsia="cs-CZ" w:bidi="cs-CZ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51b7b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337504"/>
    <w:rPr/>
  </w:style>
  <w:style w:type="character" w:styleId="Eop" w:customStyle="1">
    <w:name w:val="eop"/>
    <w:basedOn w:val="DefaultParagraphFont"/>
    <w:qFormat/>
    <w:rsid w:val="00337504"/>
    <w:rPr/>
  </w:style>
  <w:style w:type="character" w:styleId="Heading1Char" w:customStyle="1">
    <w:name w:val="Heading 1 Char"/>
    <w:basedOn w:val="DefaultParagraphFont"/>
    <w:qFormat/>
    <w:rsid w:val="00d337c0"/>
    <w:rPr>
      <w:rFonts w:ascii="Tahoma" w:hAnsi="Tahoma" w:eastAsia="Times New Roman" w:cs="Times New Roman"/>
      <w:b/>
      <w:bCs/>
      <w:kern w:val="2"/>
      <w:sz w:val="20"/>
      <w:szCs w:val="32"/>
      <w:lang w:eastAsia="cs-CZ"/>
    </w:rPr>
  </w:style>
  <w:style w:type="character" w:styleId="BalloonTextChar" w:customStyle="1">
    <w:name w:val="Balloon Text Char"/>
    <w:basedOn w:val="DefaultParagraphFont"/>
    <w:uiPriority w:val="99"/>
    <w:qFormat/>
    <w:rsid w:val="00d337c0"/>
    <w:rPr>
      <w:rFonts w:ascii="Segoe UI" w:hAnsi="Segoe UI" w:eastAsia="Times New Roman" w:cs="Segoe UI"/>
      <w:sz w:val="18"/>
      <w:szCs w:val="1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uiPriority w:val="35"/>
    <w:unhideWhenUsed/>
    <w:qFormat/>
    <w:rsid w:val="00e464db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Zkladntext2" w:customStyle="1">
    <w:name w:val="Základní text2"/>
    <w:basedOn w:val="Normal"/>
    <w:link w:val="Zkladntext"/>
    <w:qFormat/>
    <w:rsid w:val="001f2c70"/>
    <w:pPr>
      <w:widowControl w:val="false"/>
      <w:spacing w:lineRule="exact" w:line="216" w:before="300" w:after="180"/>
      <w:ind w:hanging="100"/>
      <w:jc w:val="both"/>
    </w:pPr>
    <w:rPr>
      <w:rFonts w:ascii="Tahoma" w:hAnsi="Tahoma" w:eastAsia="Tahoma" w:cs="Tahoma"/>
      <w:spacing w:val="2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26d24"/>
    <w:pPr>
      <w:spacing w:before="0" w:after="0"/>
      <w:ind w:left="720"/>
      <w:contextualSpacing/>
    </w:pPr>
    <w:rPr/>
  </w:style>
  <w:style w:type="paragraph" w:styleId="Paragraph" w:customStyle="1">
    <w:name w:val="paragraph"/>
    <w:basedOn w:val="Normal"/>
    <w:qFormat/>
    <w:rsid w:val="0033750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rema.cloud/projekt/bud-liny" TargetMode="External"/><Relationship Id="rId5" Type="http://schemas.openxmlformats.org/officeDocument/2006/relationships/hyperlink" Target="https://rebalik.cz/" TargetMode="External"/><Relationship Id="rId6" Type="http://schemas.openxmlformats.org/officeDocument/2006/relationships/hyperlink" Target="https://remais.rema.cloud/Login.aspx" TargetMode="External"/><Relationship Id="rId7" Type="http://schemas.openxmlformats.org/officeDocument/2006/relationships/hyperlink" Target="https://remais.rema.cloud/verejne/testiframe.html" TargetMode="External"/><Relationship Id="rId8" Type="http://schemas.openxmlformats.org/officeDocument/2006/relationships/hyperlink" Target="https://visoh2.mzp.cz/RegistrMistZO/RegistrMistZOPublic" TargetMode="External"/><Relationship Id="rId9" Type="http://schemas.openxmlformats.org/officeDocument/2006/relationships/hyperlink" Target="https://www.chytrarecyklace.cz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3.xml><?xml version="1.0" encoding="utf-8"?>
<ds:datastoreItem xmlns:ds="http://schemas.openxmlformats.org/officeDocument/2006/customXml" ds:itemID="{F98B5979-A991-401A-8B54-B89EF940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LibreOffice/7.6.4.1$Windows_X86_64 LibreOffice_project/e19e193f88cd6c0525a17fb7a176ed8e6a3e2aa1</Application>
  <AppVersion>15.0000</AppVersion>
  <Pages>4</Pages>
  <Words>512</Words>
  <Characters>3213</Characters>
  <CharactersWithSpaces>3640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2025-08-25T15:13:00Z</dcterms:created>
  <dc:creator>David Chytil</dc:creator>
  <dc:description/>
  <dc:language>cs-CZ</dc:language>
  <cp:lastModifiedBy/>
  <cp:lastPrinted>2025-08-26T12:27:07Z</cp:lastPrinted>
  <dcterms:modified xsi:type="dcterms:W3CDTF">2025-08-26T12:32:00Z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